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664" w:type="dxa"/>
        <w:tblLook w:val="04A0" w:firstRow="1" w:lastRow="0" w:firstColumn="1" w:lastColumn="0" w:noHBand="0" w:noVBand="1"/>
      </w:tblPr>
      <w:tblGrid>
        <w:gridCol w:w="2339"/>
        <w:gridCol w:w="2339"/>
        <w:gridCol w:w="2309"/>
        <w:gridCol w:w="1154"/>
        <w:gridCol w:w="2328"/>
        <w:gridCol w:w="1195"/>
      </w:tblGrid>
      <w:tr w:rsidR="002A6D50" w:rsidRPr="00237BCE" w14:paraId="34A28250" w14:textId="2349F8E4" w:rsidTr="002A6D50">
        <w:trPr>
          <w:trHeight w:val="191"/>
        </w:trPr>
        <w:tc>
          <w:tcPr>
            <w:tcW w:w="4678" w:type="dxa"/>
            <w:gridSpan w:val="2"/>
            <w:shd w:val="clear" w:color="auto" w:fill="33CCCC"/>
          </w:tcPr>
          <w:p w14:paraId="091CD7A8" w14:textId="5648B196" w:rsidR="002A6D50" w:rsidRPr="00237BCE" w:rsidRDefault="002A6D50" w:rsidP="00210824">
            <w:pPr>
              <w:jc w:val="center"/>
              <w:rPr>
                <w:rFonts w:ascii="Arial" w:hAnsi="Arial" w:cs="Arial"/>
                <w:b/>
                <w:bCs/>
              </w:rPr>
            </w:pPr>
            <w:r w:rsidRPr="00237BCE">
              <w:rPr>
                <w:rFonts w:ascii="Arial" w:hAnsi="Arial" w:cs="Arial"/>
                <w:b/>
                <w:bCs/>
              </w:rPr>
              <w:t>Early Years Foundation Stage</w:t>
            </w:r>
          </w:p>
        </w:tc>
        <w:tc>
          <w:tcPr>
            <w:tcW w:w="2309" w:type="dxa"/>
          </w:tcPr>
          <w:p w14:paraId="567B7F2D" w14:textId="7777777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National </w:t>
            </w:r>
          </w:p>
          <w:p w14:paraId="68173F3B" w14:textId="2A77F194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1154" w:type="dxa"/>
          </w:tcPr>
          <w:p w14:paraId="15E96A88" w14:textId="7777777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FAB </w:t>
            </w:r>
          </w:p>
          <w:p w14:paraId="6A298D18" w14:textId="41F5F59E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2328" w:type="dxa"/>
          </w:tcPr>
          <w:p w14:paraId="2D8D5CD8" w14:textId="7777777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National </w:t>
            </w:r>
          </w:p>
          <w:p w14:paraId="3289EEEC" w14:textId="5ACAB4F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2022-23</w:t>
            </w:r>
          </w:p>
        </w:tc>
        <w:tc>
          <w:tcPr>
            <w:tcW w:w="1195" w:type="dxa"/>
          </w:tcPr>
          <w:p w14:paraId="20AAA855" w14:textId="7777777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FAB </w:t>
            </w:r>
          </w:p>
          <w:p w14:paraId="67DDFEB2" w14:textId="7F31D463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2022-23</w:t>
            </w:r>
          </w:p>
        </w:tc>
      </w:tr>
      <w:tr w:rsidR="002A6D50" w:rsidRPr="00237BCE" w14:paraId="6B39293A" w14:textId="6A7B88BC" w:rsidTr="002A6D50">
        <w:trPr>
          <w:trHeight w:val="389"/>
        </w:trPr>
        <w:tc>
          <w:tcPr>
            <w:tcW w:w="2339" w:type="dxa"/>
          </w:tcPr>
          <w:p w14:paraId="596E1326" w14:textId="2154CE37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Good Level of Development (GLD)</w:t>
            </w:r>
          </w:p>
        </w:tc>
        <w:tc>
          <w:tcPr>
            <w:tcW w:w="2339" w:type="dxa"/>
          </w:tcPr>
          <w:p w14:paraId="6EE17BB5" w14:textId="7ECB2E29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% of children achieving a good level of development by the end of Reception year</w:t>
            </w:r>
          </w:p>
        </w:tc>
        <w:tc>
          <w:tcPr>
            <w:tcW w:w="2309" w:type="dxa"/>
          </w:tcPr>
          <w:p w14:paraId="144076B6" w14:textId="60CB84C9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65%</w:t>
            </w:r>
          </w:p>
        </w:tc>
        <w:tc>
          <w:tcPr>
            <w:tcW w:w="1154" w:type="dxa"/>
          </w:tcPr>
          <w:p w14:paraId="73569453" w14:textId="6336733F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65%</w:t>
            </w:r>
          </w:p>
        </w:tc>
        <w:tc>
          <w:tcPr>
            <w:tcW w:w="2328" w:type="dxa"/>
          </w:tcPr>
          <w:p w14:paraId="5B53C5F7" w14:textId="2B478F70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67%</w:t>
            </w:r>
          </w:p>
        </w:tc>
        <w:tc>
          <w:tcPr>
            <w:tcW w:w="1195" w:type="dxa"/>
          </w:tcPr>
          <w:p w14:paraId="2039872A" w14:textId="2B1038AB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53%</w:t>
            </w:r>
          </w:p>
        </w:tc>
      </w:tr>
    </w:tbl>
    <w:p w14:paraId="5E0A0D53" w14:textId="48D7FFB5" w:rsidR="005F0EF8" w:rsidRPr="00237BCE" w:rsidRDefault="005F0EF8">
      <w:pPr>
        <w:rPr>
          <w:rFonts w:ascii="Arial" w:hAnsi="Arial" w:cs="Arial"/>
        </w:rPr>
      </w:pPr>
    </w:p>
    <w:tbl>
      <w:tblPr>
        <w:tblStyle w:val="TableGrid"/>
        <w:tblW w:w="11679" w:type="dxa"/>
        <w:tblLook w:val="04A0" w:firstRow="1" w:lastRow="0" w:firstColumn="1" w:lastColumn="0" w:noHBand="0" w:noVBand="1"/>
      </w:tblPr>
      <w:tblGrid>
        <w:gridCol w:w="2329"/>
        <w:gridCol w:w="2329"/>
        <w:gridCol w:w="2329"/>
        <w:gridCol w:w="1155"/>
        <w:gridCol w:w="2330"/>
        <w:gridCol w:w="1207"/>
      </w:tblGrid>
      <w:tr w:rsidR="002A6D50" w:rsidRPr="00237BCE" w14:paraId="3D81015E" w14:textId="77777777" w:rsidTr="002A6D50">
        <w:trPr>
          <w:trHeight w:val="343"/>
        </w:trPr>
        <w:tc>
          <w:tcPr>
            <w:tcW w:w="2329" w:type="dxa"/>
            <w:shd w:val="clear" w:color="auto" w:fill="33CCCC"/>
          </w:tcPr>
          <w:p w14:paraId="709E386C" w14:textId="02E79FB0" w:rsidR="002A6D50" w:rsidRPr="00237BCE" w:rsidRDefault="002A6D50" w:rsidP="00210824">
            <w:pPr>
              <w:jc w:val="center"/>
              <w:rPr>
                <w:rFonts w:ascii="Arial" w:hAnsi="Arial" w:cs="Arial"/>
                <w:b/>
                <w:bCs/>
              </w:rPr>
            </w:pPr>
            <w:r w:rsidRPr="00237BCE">
              <w:rPr>
                <w:rFonts w:ascii="Arial" w:hAnsi="Arial" w:cs="Arial"/>
                <w:b/>
                <w:bCs/>
              </w:rPr>
              <w:t>Phonics Screening Check</w:t>
            </w:r>
          </w:p>
        </w:tc>
        <w:tc>
          <w:tcPr>
            <w:tcW w:w="2329" w:type="dxa"/>
          </w:tcPr>
          <w:p w14:paraId="00E78C76" w14:textId="77777777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9" w:type="dxa"/>
          </w:tcPr>
          <w:p w14:paraId="4E043CD8" w14:textId="745BFB32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National 2021-22</w:t>
            </w:r>
          </w:p>
        </w:tc>
        <w:tc>
          <w:tcPr>
            <w:tcW w:w="1155" w:type="dxa"/>
          </w:tcPr>
          <w:p w14:paraId="6B3EE419" w14:textId="0AE5C76E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3E75F637" w14:textId="66C18412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2330" w:type="dxa"/>
          </w:tcPr>
          <w:p w14:paraId="57583D9E" w14:textId="498F8990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National 2022-23</w:t>
            </w:r>
          </w:p>
        </w:tc>
        <w:tc>
          <w:tcPr>
            <w:tcW w:w="1207" w:type="dxa"/>
          </w:tcPr>
          <w:p w14:paraId="1E2ADCE8" w14:textId="2C208C0C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1699F34A" w14:textId="6D697D4E" w:rsidR="002A6D50" w:rsidRPr="00237BCE" w:rsidRDefault="002A6D50" w:rsidP="00210824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2022-23</w:t>
            </w:r>
          </w:p>
        </w:tc>
      </w:tr>
      <w:tr w:rsidR="002A6D50" w:rsidRPr="00237BCE" w14:paraId="1CC3A1C8" w14:textId="77777777" w:rsidTr="002A6D50">
        <w:trPr>
          <w:trHeight w:val="882"/>
        </w:trPr>
        <w:tc>
          <w:tcPr>
            <w:tcW w:w="2329" w:type="dxa"/>
          </w:tcPr>
          <w:p w14:paraId="191E5336" w14:textId="1FF1D11E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Year 1</w:t>
            </w:r>
          </w:p>
        </w:tc>
        <w:tc>
          <w:tcPr>
            <w:tcW w:w="2329" w:type="dxa"/>
          </w:tcPr>
          <w:p w14:paraId="3B6AECD9" w14:textId="74A199C3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% passing the phonics screening check in Y1. The 2022 pass mark is 32</w:t>
            </w:r>
          </w:p>
        </w:tc>
        <w:tc>
          <w:tcPr>
            <w:tcW w:w="2329" w:type="dxa"/>
          </w:tcPr>
          <w:p w14:paraId="100D1D72" w14:textId="4B659F00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75%</w:t>
            </w:r>
          </w:p>
        </w:tc>
        <w:tc>
          <w:tcPr>
            <w:tcW w:w="1155" w:type="dxa"/>
          </w:tcPr>
          <w:p w14:paraId="12A94030" w14:textId="5A4A9FFB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60%</w:t>
            </w:r>
          </w:p>
        </w:tc>
        <w:tc>
          <w:tcPr>
            <w:tcW w:w="2330" w:type="dxa"/>
          </w:tcPr>
          <w:p w14:paraId="4F50C7E0" w14:textId="747D4AA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79%</w:t>
            </w:r>
          </w:p>
        </w:tc>
        <w:tc>
          <w:tcPr>
            <w:tcW w:w="1207" w:type="dxa"/>
          </w:tcPr>
          <w:p w14:paraId="01A25065" w14:textId="6826C41A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67%</w:t>
            </w:r>
          </w:p>
        </w:tc>
      </w:tr>
      <w:tr w:rsidR="002A6D50" w:rsidRPr="00237BCE" w14:paraId="1C266B0B" w14:textId="77777777" w:rsidTr="002A6D50">
        <w:trPr>
          <w:trHeight w:val="695"/>
        </w:trPr>
        <w:tc>
          <w:tcPr>
            <w:tcW w:w="2329" w:type="dxa"/>
          </w:tcPr>
          <w:p w14:paraId="75EF0499" w14:textId="6D999070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Year 2 Cumulative </w:t>
            </w:r>
          </w:p>
        </w:tc>
        <w:tc>
          <w:tcPr>
            <w:tcW w:w="2329" w:type="dxa"/>
          </w:tcPr>
          <w:p w14:paraId="6D90569E" w14:textId="44B486A0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% of Y2 cohort passing the phonics screening check by the end of Year 2.</w:t>
            </w:r>
          </w:p>
        </w:tc>
        <w:tc>
          <w:tcPr>
            <w:tcW w:w="2329" w:type="dxa"/>
          </w:tcPr>
          <w:p w14:paraId="5557E11C" w14:textId="61ED9EC1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87%</w:t>
            </w:r>
          </w:p>
        </w:tc>
        <w:tc>
          <w:tcPr>
            <w:tcW w:w="1155" w:type="dxa"/>
          </w:tcPr>
          <w:p w14:paraId="732E20EC" w14:textId="7777777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0" w:type="dxa"/>
          </w:tcPr>
          <w:p w14:paraId="3C3431F7" w14:textId="02C6186C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89%</w:t>
            </w:r>
          </w:p>
        </w:tc>
        <w:tc>
          <w:tcPr>
            <w:tcW w:w="1207" w:type="dxa"/>
          </w:tcPr>
          <w:p w14:paraId="7B04F72A" w14:textId="1A4AF4F1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45%</w:t>
            </w:r>
          </w:p>
        </w:tc>
      </w:tr>
    </w:tbl>
    <w:p w14:paraId="2179AE21" w14:textId="73F035FD" w:rsidR="00210824" w:rsidRPr="00237BCE" w:rsidRDefault="00210824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3"/>
      </w:tblGrid>
      <w:tr w:rsidR="002A6D50" w:rsidRPr="00237BCE" w14:paraId="566BA6E7" w14:textId="77777777" w:rsidTr="008E2BAD">
        <w:tc>
          <w:tcPr>
            <w:tcW w:w="1992" w:type="dxa"/>
            <w:shd w:val="clear" w:color="auto" w:fill="33CCCC"/>
          </w:tcPr>
          <w:p w14:paraId="4050773C" w14:textId="5441A076" w:rsidR="002A6D50" w:rsidRPr="00237BCE" w:rsidRDefault="002A6D50" w:rsidP="008920F0">
            <w:pPr>
              <w:rPr>
                <w:rFonts w:ascii="Arial" w:hAnsi="Arial" w:cs="Arial"/>
                <w:b/>
                <w:bCs/>
              </w:rPr>
            </w:pPr>
            <w:r w:rsidRPr="00237BCE">
              <w:rPr>
                <w:rFonts w:ascii="Arial" w:hAnsi="Arial" w:cs="Arial"/>
                <w:b/>
                <w:bCs/>
              </w:rPr>
              <w:t>Key Stage One (Year2)</w:t>
            </w:r>
          </w:p>
        </w:tc>
        <w:tc>
          <w:tcPr>
            <w:tcW w:w="1992" w:type="dxa"/>
          </w:tcPr>
          <w:p w14:paraId="09194BA7" w14:textId="7777777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National </w:t>
            </w:r>
          </w:p>
          <w:p w14:paraId="69FB16FB" w14:textId="4D672593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1993" w:type="dxa"/>
          </w:tcPr>
          <w:p w14:paraId="4362AD49" w14:textId="7777777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7B498382" w14:textId="3B9EA9F4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1993" w:type="dxa"/>
          </w:tcPr>
          <w:p w14:paraId="3DFACF35" w14:textId="7777777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National</w:t>
            </w:r>
          </w:p>
          <w:p w14:paraId="4E471C8B" w14:textId="29019D43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 2022-23</w:t>
            </w:r>
          </w:p>
        </w:tc>
        <w:tc>
          <w:tcPr>
            <w:tcW w:w="1993" w:type="dxa"/>
          </w:tcPr>
          <w:p w14:paraId="35143FB2" w14:textId="77777777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5176D239" w14:textId="64DC4C94" w:rsidR="002A6D50" w:rsidRPr="00237BCE" w:rsidRDefault="002A6D50" w:rsidP="008920F0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2022-23</w:t>
            </w:r>
          </w:p>
        </w:tc>
      </w:tr>
      <w:tr w:rsidR="002A6D50" w:rsidRPr="00237BCE" w14:paraId="59185DFF" w14:textId="77777777" w:rsidTr="008920F0">
        <w:tc>
          <w:tcPr>
            <w:tcW w:w="1992" w:type="dxa"/>
          </w:tcPr>
          <w:p w14:paraId="7AEECFB8" w14:textId="73011DF7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Reading at the Expected Standard </w:t>
            </w:r>
          </w:p>
        </w:tc>
        <w:tc>
          <w:tcPr>
            <w:tcW w:w="1992" w:type="dxa"/>
          </w:tcPr>
          <w:p w14:paraId="36A3C3F3" w14:textId="7E6B7EC4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67%</w:t>
            </w:r>
          </w:p>
        </w:tc>
        <w:tc>
          <w:tcPr>
            <w:tcW w:w="1993" w:type="dxa"/>
          </w:tcPr>
          <w:p w14:paraId="14E5333B" w14:textId="628FD2EE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53%</w:t>
            </w:r>
          </w:p>
        </w:tc>
        <w:tc>
          <w:tcPr>
            <w:tcW w:w="1993" w:type="dxa"/>
          </w:tcPr>
          <w:p w14:paraId="37EB1E0C" w14:textId="1A9E9F2F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68%</w:t>
            </w:r>
          </w:p>
        </w:tc>
        <w:tc>
          <w:tcPr>
            <w:tcW w:w="1993" w:type="dxa"/>
          </w:tcPr>
          <w:p w14:paraId="7C04A419" w14:textId="6960DD2E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64%</w:t>
            </w:r>
          </w:p>
        </w:tc>
      </w:tr>
      <w:tr w:rsidR="002A6D50" w:rsidRPr="00237BCE" w14:paraId="7A017444" w14:textId="77777777" w:rsidTr="008920F0">
        <w:tc>
          <w:tcPr>
            <w:tcW w:w="1992" w:type="dxa"/>
          </w:tcPr>
          <w:p w14:paraId="16DAF6DA" w14:textId="578B6AB7" w:rsidR="002A6D50" w:rsidRPr="00237BCE" w:rsidRDefault="002A6D5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Reading at greater depth </w:t>
            </w:r>
          </w:p>
        </w:tc>
        <w:tc>
          <w:tcPr>
            <w:tcW w:w="1992" w:type="dxa"/>
          </w:tcPr>
          <w:p w14:paraId="693CBC4B" w14:textId="0522EE34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18%</w:t>
            </w:r>
          </w:p>
        </w:tc>
        <w:tc>
          <w:tcPr>
            <w:tcW w:w="1993" w:type="dxa"/>
          </w:tcPr>
          <w:p w14:paraId="46C39A78" w14:textId="5C746172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19%</w:t>
            </w:r>
          </w:p>
        </w:tc>
        <w:tc>
          <w:tcPr>
            <w:tcW w:w="1993" w:type="dxa"/>
          </w:tcPr>
          <w:p w14:paraId="5909B9F2" w14:textId="4544C513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19%</w:t>
            </w:r>
          </w:p>
        </w:tc>
        <w:tc>
          <w:tcPr>
            <w:tcW w:w="1993" w:type="dxa"/>
          </w:tcPr>
          <w:p w14:paraId="640DA1B4" w14:textId="17C664F8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19%</w:t>
            </w:r>
          </w:p>
        </w:tc>
      </w:tr>
      <w:tr w:rsidR="002A6D50" w:rsidRPr="00237BCE" w14:paraId="0FB38671" w14:textId="77777777" w:rsidTr="008920F0">
        <w:tc>
          <w:tcPr>
            <w:tcW w:w="1992" w:type="dxa"/>
          </w:tcPr>
          <w:p w14:paraId="24D65AE7" w14:textId="43E6C5E8" w:rsidR="002A6D50" w:rsidRPr="00237BCE" w:rsidRDefault="002A6D50" w:rsidP="008920F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Writing at the Expected Standard </w:t>
            </w:r>
          </w:p>
        </w:tc>
        <w:tc>
          <w:tcPr>
            <w:tcW w:w="1992" w:type="dxa"/>
          </w:tcPr>
          <w:p w14:paraId="4E6A0FAE" w14:textId="40406913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58%</w:t>
            </w:r>
          </w:p>
        </w:tc>
        <w:tc>
          <w:tcPr>
            <w:tcW w:w="1993" w:type="dxa"/>
          </w:tcPr>
          <w:p w14:paraId="52099E3E" w14:textId="3CBC6992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44%</w:t>
            </w:r>
          </w:p>
        </w:tc>
        <w:tc>
          <w:tcPr>
            <w:tcW w:w="1993" w:type="dxa"/>
          </w:tcPr>
          <w:p w14:paraId="560895D3" w14:textId="3C895B96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60%</w:t>
            </w:r>
          </w:p>
        </w:tc>
        <w:tc>
          <w:tcPr>
            <w:tcW w:w="1993" w:type="dxa"/>
          </w:tcPr>
          <w:p w14:paraId="2528222B" w14:textId="3E47AC58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62%</w:t>
            </w:r>
          </w:p>
        </w:tc>
      </w:tr>
      <w:tr w:rsidR="002A6D50" w:rsidRPr="00237BCE" w14:paraId="02187023" w14:textId="77777777" w:rsidTr="008920F0">
        <w:tc>
          <w:tcPr>
            <w:tcW w:w="1992" w:type="dxa"/>
          </w:tcPr>
          <w:p w14:paraId="75396714" w14:textId="63D6AAB8" w:rsidR="002A6D50" w:rsidRPr="00237BCE" w:rsidRDefault="002A6D50" w:rsidP="008920F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Writing at greater depth </w:t>
            </w:r>
          </w:p>
        </w:tc>
        <w:tc>
          <w:tcPr>
            <w:tcW w:w="1992" w:type="dxa"/>
          </w:tcPr>
          <w:p w14:paraId="363455CA" w14:textId="1CED13DA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8%</w:t>
            </w:r>
          </w:p>
        </w:tc>
        <w:tc>
          <w:tcPr>
            <w:tcW w:w="1993" w:type="dxa"/>
          </w:tcPr>
          <w:p w14:paraId="7B377323" w14:textId="3E20B4D1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7%</w:t>
            </w:r>
          </w:p>
        </w:tc>
        <w:tc>
          <w:tcPr>
            <w:tcW w:w="1993" w:type="dxa"/>
          </w:tcPr>
          <w:p w14:paraId="194901E0" w14:textId="0B689A4E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8%</w:t>
            </w:r>
          </w:p>
        </w:tc>
        <w:tc>
          <w:tcPr>
            <w:tcW w:w="1993" w:type="dxa"/>
          </w:tcPr>
          <w:p w14:paraId="58063B29" w14:textId="4C60D37E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13%</w:t>
            </w:r>
          </w:p>
        </w:tc>
      </w:tr>
      <w:tr w:rsidR="002A6D50" w:rsidRPr="00237BCE" w14:paraId="28D7356E" w14:textId="77777777" w:rsidTr="008920F0">
        <w:tc>
          <w:tcPr>
            <w:tcW w:w="1992" w:type="dxa"/>
          </w:tcPr>
          <w:p w14:paraId="319A9432" w14:textId="42772323" w:rsidR="002A6D50" w:rsidRPr="00237BCE" w:rsidRDefault="002A6D50" w:rsidP="008920F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lastRenderedPageBreak/>
              <w:t xml:space="preserve">Maths at the Expected Standard </w:t>
            </w:r>
          </w:p>
        </w:tc>
        <w:tc>
          <w:tcPr>
            <w:tcW w:w="1992" w:type="dxa"/>
          </w:tcPr>
          <w:p w14:paraId="123417BC" w14:textId="4CB37408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68%</w:t>
            </w:r>
          </w:p>
        </w:tc>
        <w:tc>
          <w:tcPr>
            <w:tcW w:w="1993" w:type="dxa"/>
          </w:tcPr>
          <w:p w14:paraId="757CB2E3" w14:textId="6C31ED67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48%</w:t>
            </w:r>
          </w:p>
        </w:tc>
        <w:tc>
          <w:tcPr>
            <w:tcW w:w="1993" w:type="dxa"/>
          </w:tcPr>
          <w:p w14:paraId="4BE7B410" w14:textId="1F273517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70%</w:t>
            </w:r>
          </w:p>
        </w:tc>
        <w:tc>
          <w:tcPr>
            <w:tcW w:w="1993" w:type="dxa"/>
          </w:tcPr>
          <w:p w14:paraId="27169823" w14:textId="7AD3EC74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61%</w:t>
            </w:r>
          </w:p>
        </w:tc>
      </w:tr>
      <w:tr w:rsidR="002A6D50" w:rsidRPr="00237BCE" w14:paraId="5DAA2C20" w14:textId="77777777" w:rsidTr="008920F0">
        <w:tc>
          <w:tcPr>
            <w:tcW w:w="1992" w:type="dxa"/>
          </w:tcPr>
          <w:p w14:paraId="096D4AEB" w14:textId="6730FBE9" w:rsidR="002A6D50" w:rsidRPr="00237BCE" w:rsidRDefault="002A6D50" w:rsidP="008920F0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Maths at greater depth </w:t>
            </w:r>
          </w:p>
        </w:tc>
        <w:tc>
          <w:tcPr>
            <w:tcW w:w="1992" w:type="dxa"/>
          </w:tcPr>
          <w:p w14:paraId="40DFD5EA" w14:textId="62D1FFA9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15%</w:t>
            </w:r>
          </w:p>
        </w:tc>
        <w:tc>
          <w:tcPr>
            <w:tcW w:w="1993" w:type="dxa"/>
          </w:tcPr>
          <w:p w14:paraId="31F7A506" w14:textId="6212F1BB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12%</w:t>
            </w:r>
          </w:p>
        </w:tc>
        <w:tc>
          <w:tcPr>
            <w:tcW w:w="1993" w:type="dxa"/>
          </w:tcPr>
          <w:p w14:paraId="0482AC61" w14:textId="27409599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16%</w:t>
            </w:r>
          </w:p>
        </w:tc>
        <w:tc>
          <w:tcPr>
            <w:tcW w:w="1993" w:type="dxa"/>
          </w:tcPr>
          <w:p w14:paraId="53CF9594" w14:textId="0453697B" w:rsidR="002A6D50" w:rsidRPr="00237BCE" w:rsidRDefault="002A6D50" w:rsidP="00A15AC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13%</w:t>
            </w:r>
          </w:p>
        </w:tc>
      </w:tr>
    </w:tbl>
    <w:p w14:paraId="61542FFB" w14:textId="6DF0AFCF" w:rsidR="008920F0" w:rsidRPr="00237BCE" w:rsidRDefault="008920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3"/>
      </w:tblGrid>
      <w:tr w:rsidR="002A6D50" w:rsidRPr="00237BCE" w14:paraId="4FD1DC66" w14:textId="77777777" w:rsidTr="008E2BAD">
        <w:tc>
          <w:tcPr>
            <w:tcW w:w="1992" w:type="dxa"/>
            <w:shd w:val="clear" w:color="auto" w:fill="33CCCC"/>
          </w:tcPr>
          <w:p w14:paraId="55E4F3B0" w14:textId="1166B30D" w:rsidR="002A6D50" w:rsidRPr="00237BCE" w:rsidRDefault="002A6D50" w:rsidP="001E08DB">
            <w:pPr>
              <w:rPr>
                <w:rFonts w:ascii="Arial" w:hAnsi="Arial" w:cs="Arial"/>
                <w:b/>
                <w:bCs/>
              </w:rPr>
            </w:pPr>
            <w:r w:rsidRPr="00237BCE">
              <w:rPr>
                <w:rFonts w:ascii="Arial" w:hAnsi="Arial" w:cs="Arial"/>
                <w:b/>
                <w:bCs/>
              </w:rPr>
              <w:t>Key Stage Two (Year 6)</w:t>
            </w:r>
          </w:p>
        </w:tc>
        <w:tc>
          <w:tcPr>
            <w:tcW w:w="1992" w:type="dxa"/>
          </w:tcPr>
          <w:p w14:paraId="4B658067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National </w:t>
            </w:r>
          </w:p>
          <w:p w14:paraId="0FFBC49D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1993" w:type="dxa"/>
          </w:tcPr>
          <w:p w14:paraId="083E4D52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592902B4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2021-22</w:t>
            </w:r>
          </w:p>
        </w:tc>
        <w:tc>
          <w:tcPr>
            <w:tcW w:w="1993" w:type="dxa"/>
          </w:tcPr>
          <w:p w14:paraId="1559A1E7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National</w:t>
            </w:r>
          </w:p>
          <w:p w14:paraId="2AA4E267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 2022-23</w:t>
            </w:r>
          </w:p>
        </w:tc>
        <w:tc>
          <w:tcPr>
            <w:tcW w:w="1993" w:type="dxa"/>
          </w:tcPr>
          <w:p w14:paraId="367AD1B6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FAB</w:t>
            </w:r>
          </w:p>
          <w:p w14:paraId="20CC11C1" w14:textId="77777777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2022-23</w:t>
            </w:r>
          </w:p>
        </w:tc>
        <w:bookmarkStart w:id="0" w:name="_GoBack"/>
        <w:bookmarkEnd w:id="0"/>
      </w:tr>
      <w:tr w:rsidR="002A6D50" w:rsidRPr="00237BCE" w14:paraId="602E37F2" w14:textId="77777777" w:rsidTr="001E08DB">
        <w:tc>
          <w:tcPr>
            <w:tcW w:w="1992" w:type="dxa"/>
          </w:tcPr>
          <w:p w14:paraId="72BA9371" w14:textId="21C68098" w:rsidR="002A6D50" w:rsidRPr="00237BCE" w:rsidRDefault="002A6D50" w:rsidP="001E08DB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Combined at the Expected Standard </w:t>
            </w:r>
          </w:p>
        </w:tc>
        <w:tc>
          <w:tcPr>
            <w:tcW w:w="1992" w:type="dxa"/>
          </w:tcPr>
          <w:p w14:paraId="7AB7435E" w14:textId="12F5D1F1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59%</w:t>
            </w:r>
          </w:p>
        </w:tc>
        <w:tc>
          <w:tcPr>
            <w:tcW w:w="1993" w:type="dxa"/>
          </w:tcPr>
          <w:p w14:paraId="1CA6E669" w14:textId="61A07EA1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52%</w:t>
            </w:r>
          </w:p>
        </w:tc>
        <w:tc>
          <w:tcPr>
            <w:tcW w:w="1993" w:type="dxa"/>
          </w:tcPr>
          <w:p w14:paraId="49E20989" w14:textId="4A53F3AE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60%</w:t>
            </w:r>
          </w:p>
        </w:tc>
        <w:tc>
          <w:tcPr>
            <w:tcW w:w="1993" w:type="dxa"/>
          </w:tcPr>
          <w:p w14:paraId="02DFD655" w14:textId="22427A4C" w:rsidR="002A6D50" w:rsidRPr="00237BCE" w:rsidRDefault="002A6D50" w:rsidP="001E08DB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54%</w:t>
            </w:r>
          </w:p>
        </w:tc>
      </w:tr>
      <w:tr w:rsidR="002A6D50" w:rsidRPr="00237BCE" w14:paraId="23AC3ECF" w14:textId="77777777" w:rsidTr="001E08DB">
        <w:tc>
          <w:tcPr>
            <w:tcW w:w="1992" w:type="dxa"/>
          </w:tcPr>
          <w:p w14:paraId="4101133D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Reading at the Expected Standard </w:t>
            </w:r>
          </w:p>
        </w:tc>
        <w:tc>
          <w:tcPr>
            <w:tcW w:w="1992" w:type="dxa"/>
          </w:tcPr>
          <w:p w14:paraId="614BF15C" w14:textId="6DD2AC26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74%</w:t>
            </w:r>
          </w:p>
        </w:tc>
        <w:tc>
          <w:tcPr>
            <w:tcW w:w="1993" w:type="dxa"/>
          </w:tcPr>
          <w:p w14:paraId="30DE99D6" w14:textId="123C0DF1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65%</w:t>
            </w:r>
          </w:p>
        </w:tc>
        <w:tc>
          <w:tcPr>
            <w:tcW w:w="1993" w:type="dxa"/>
          </w:tcPr>
          <w:p w14:paraId="66C0660E" w14:textId="5CBCD836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73%</w:t>
            </w:r>
          </w:p>
        </w:tc>
        <w:tc>
          <w:tcPr>
            <w:tcW w:w="1993" w:type="dxa"/>
          </w:tcPr>
          <w:p w14:paraId="7CB41590" w14:textId="46C2C869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84%</w:t>
            </w:r>
          </w:p>
        </w:tc>
      </w:tr>
      <w:tr w:rsidR="002A6D50" w:rsidRPr="00237BCE" w14:paraId="5972C85E" w14:textId="77777777" w:rsidTr="001E08DB">
        <w:tc>
          <w:tcPr>
            <w:tcW w:w="1992" w:type="dxa"/>
          </w:tcPr>
          <w:p w14:paraId="21F24AAA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Reading at greater depth </w:t>
            </w:r>
          </w:p>
        </w:tc>
        <w:tc>
          <w:tcPr>
            <w:tcW w:w="1992" w:type="dxa"/>
          </w:tcPr>
          <w:p w14:paraId="67272FD3" w14:textId="4E0C14F0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28%</w:t>
            </w:r>
          </w:p>
        </w:tc>
        <w:tc>
          <w:tcPr>
            <w:tcW w:w="1993" w:type="dxa"/>
          </w:tcPr>
          <w:p w14:paraId="1528BD6D" w14:textId="6FFECF29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18%</w:t>
            </w:r>
          </w:p>
        </w:tc>
        <w:tc>
          <w:tcPr>
            <w:tcW w:w="1993" w:type="dxa"/>
          </w:tcPr>
          <w:p w14:paraId="56F7AFF9" w14:textId="5139CFA6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29%</w:t>
            </w:r>
          </w:p>
        </w:tc>
        <w:tc>
          <w:tcPr>
            <w:tcW w:w="1993" w:type="dxa"/>
          </w:tcPr>
          <w:p w14:paraId="2840CFDB" w14:textId="0D0BEC55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41%</w:t>
            </w:r>
          </w:p>
        </w:tc>
      </w:tr>
      <w:tr w:rsidR="002A6D50" w:rsidRPr="00237BCE" w14:paraId="4BB7A9E2" w14:textId="77777777" w:rsidTr="001E08DB">
        <w:tc>
          <w:tcPr>
            <w:tcW w:w="1992" w:type="dxa"/>
          </w:tcPr>
          <w:p w14:paraId="237DA6C0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Writing at the Expected Standard </w:t>
            </w:r>
          </w:p>
        </w:tc>
        <w:tc>
          <w:tcPr>
            <w:tcW w:w="1992" w:type="dxa"/>
          </w:tcPr>
          <w:p w14:paraId="2672DD1B" w14:textId="38CF8BD6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69%</w:t>
            </w:r>
          </w:p>
        </w:tc>
        <w:tc>
          <w:tcPr>
            <w:tcW w:w="1993" w:type="dxa"/>
          </w:tcPr>
          <w:p w14:paraId="519F937C" w14:textId="07530F18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83%</w:t>
            </w:r>
          </w:p>
        </w:tc>
        <w:tc>
          <w:tcPr>
            <w:tcW w:w="1993" w:type="dxa"/>
          </w:tcPr>
          <w:p w14:paraId="71E9EAF0" w14:textId="4EEEFD4D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71%</w:t>
            </w:r>
          </w:p>
        </w:tc>
        <w:tc>
          <w:tcPr>
            <w:tcW w:w="1993" w:type="dxa"/>
          </w:tcPr>
          <w:p w14:paraId="77FD4E74" w14:textId="2DD344BC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68%</w:t>
            </w:r>
          </w:p>
        </w:tc>
      </w:tr>
      <w:tr w:rsidR="002A6D50" w:rsidRPr="00237BCE" w14:paraId="06D3CE61" w14:textId="77777777" w:rsidTr="001E08DB">
        <w:tc>
          <w:tcPr>
            <w:tcW w:w="1992" w:type="dxa"/>
          </w:tcPr>
          <w:p w14:paraId="5FFD12C0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Writing at greater depth </w:t>
            </w:r>
          </w:p>
        </w:tc>
        <w:tc>
          <w:tcPr>
            <w:tcW w:w="1992" w:type="dxa"/>
          </w:tcPr>
          <w:p w14:paraId="0AC52CD1" w14:textId="6C457F29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13%</w:t>
            </w:r>
          </w:p>
        </w:tc>
        <w:tc>
          <w:tcPr>
            <w:tcW w:w="1993" w:type="dxa"/>
          </w:tcPr>
          <w:p w14:paraId="5AD378BB" w14:textId="3576C168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20%</w:t>
            </w:r>
          </w:p>
        </w:tc>
        <w:tc>
          <w:tcPr>
            <w:tcW w:w="1993" w:type="dxa"/>
          </w:tcPr>
          <w:p w14:paraId="7DCB7C44" w14:textId="47D45BE7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13%</w:t>
            </w:r>
          </w:p>
        </w:tc>
        <w:tc>
          <w:tcPr>
            <w:tcW w:w="1993" w:type="dxa"/>
          </w:tcPr>
          <w:p w14:paraId="653D96EC" w14:textId="6DB63EA7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8%</w:t>
            </w:r>
          </w:p>
        </w:tc>
      </w:tr>
      <w:tr w:rsidR="002A6D50" w:rsidRPr="00237BCE" w14:paraId="5BFC3B07" w14:textId="77777777" w:rsidTr="001E08DB">
        <w:tc>
          <w:tcPr>
            <w:tcW w:w="1992" w:type="dxa"/>
          </w:tcPr>
          <w:p w14:paraId="06A12646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Maths at the Expected Standard </w:t>
            </w:r>
          </w:p>
        </w:tc>
        <w:tc>
          <w:tcPr>
            <w:tcW w:w="1992" w:type="dxa"/>
          </w:tcPr>
          <w:p w14:paraId="6F460665" w14:textId="1E2EE3CF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71%</w:t>
            </w:r>
          </w:p>
        </w:tc>
        <w:tc>
          <w:tcPr>
            <w:tcW w:w="1993" w:type="dxa"/>
          </w:tcPr>
          <w:p w14:paraId="2B94563F" w14:textId="1501A911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68%</w:t>
            </w:r>
          </w:p>
        </w:tc>
        <w:tc>
          <w:tcPr>
            <w:tcW w:w="1993" w:type="dxa"/>
          </w:tcPr>
          <w:p w14:paraId="74BD8A39" w14:textId="39EEEEC0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73%</w:t>
            </w:r>
          </w:p>
        </w:tc>
        <w:tc>
          <w:tcPr>
            <w:tcW w:w="1993" w:type="dxa"/>
          </w:tcPr>
          <w:p w14:paraId="2EDC7EE1" w14:textId="5F91E6AA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73%</w:t>
            </w:r>
          </w:p>
        </w:tc>
      </w:tr>
      <w:tr w:rsidR="002A6D50" w:rsidRPr="00237BCE" w14:paraId="460848FE" w14:textId="77777777" w:rsidTr="001E08DB">
        <w:tc>
          <w:tcPr>
            <w:tcW w:w="1992" w:type="dxa"/>
          </w:tcPr>
          <w:p w14:paraId="76716BB5" w14:textId="77777777" w:rsidR="002A6D50" w:rsidRPr="00237BCE" w:rsidRDefault="002A6D50" w:rsidP="00932366">
            <w:pPr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 xml:space="preserve">Maths at greater depth </w:t>
            </w:r>
          </w:p>
        </w:tc>
        <w:tc>
          <w:tcPr>
            <w:tcW w:w="1992" w:type="dxa"/>
          </w:tcPr>
          <w:p w14:paraId="783DFBBB" w14:textId="443167DE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22%</w:t>
            </w:r>
          </w:p>
        </w:tc>
        <w:tc>
          <w:tcPr>
            <w:tcW w:w="1993" w:type="dxa"/>
          </w:tcPr>
          <w:p w14:paraId="7FB3D303" w14:textId="67DDEBE6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11%</w:t>
            </w:r>
          </w:p>
        </w:tc>
        <w:tc>
          <w:tcPr>
            <w:tcW w:w="1993" w:type="dxa"/>
          </w:tcPr>
          <w:p w14:paraId="30B3059D" w14:textId="437C0E1C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24%</w:t>
            </w:r>
          </w:p>
        </w:tc>
        <w:tc>
          <w:tcPr>
            <w:tcW w:w="1993" w:type="dxa"/>
          </w:tcPr>
          <w:p w14:paraId="7DEB46CE" w14:textId="34A8B934" w:rsidR="002A6D50" w:rsidRPr="00237BCE" w:rsidRDefault="002A6D50" w:rsidP="00932366">
            <w:pPr>
              <w:jc w:val="center"/>
              <w:rPr>
                <w:rFonts w:ascii="Arial" w:hAnsi="Arial" w:cs="Arial"/>
              </w:rPr>
            </w:pPr>
            <w:r w:rsidRPr="00237BCE">
              <w:rPr>
                <w:rFonts w:ascii="Arial" w:hAnsi="Arial" w:cs="Arial"/>
              </w:rPr>
              <w:t>20%</w:t>
            </w:r>
          </w:p>
        </w:tc>
      </w:tr>
    </w:tbl>
    <w:p w14:paraId="45958FDC" w14:textId="77777777" w:rsidR="00A15ACB" w:rsidRPr="00237BCE" w:rsidRDefault="00A15ACB">
      <w:pPr>
        <w:rPr>
          <w:rFonts w:ascii="Arial" w:hAnsi="Arial" w:cs="Arial"/>
        </w:rPr>
      </w:pPr>
    </w:p>
    <w:sectPr w:rsidR="00A15ACB" w:rsidRPr="00237BCE" w:rsidSect="002108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24"/>
    <w:rsid w:val="002020EE"/>
    <w:rsid w:val="00210824"/>
    <w:rsid w:val="00237BCE"/>
    <w:rsid w:val="002A6D50"/>
    <w:rsid w:val="005817D3"/>
    <w:rsid w:val="005F0EF8"/>
    <w:rsid w:val="007150EB"/>
    <w:rsid w:val="007521F4"/>
    <w:rsid w:val="00787D35"/>
    <w:rsid w:val="0086332C"/>
    <w:rsid w:val="008920F0"/>
    <w:rsid w:val="008E2BAD"/>
    <w:rsid w:val="00932366"/>
    <w:rsid w:val="00A15ACB"/>
    <w:rsid w:val="00A63F14"/>
    <w:rsid w:val="00B8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6630B"/>
  <w15:chartTrackingRefBased/>
  <w15:docId w15:val="{C489C821-35F1-410E-BC37-19E5F792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1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0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Robinson, Sam</dc:creator>
  <cp:keywords/>
  <dc:description/>
  <cp:lastModifiedBy>Lexi Devincenzi-Hume</cp:lastModifiedBy>
  <cp:revision>3</cp:revision>
  <dcterms:created xsi:type="dcterms:W3CDTF">2024-07-02T13:50:00Z</dcterms:created>
  <dcterms:modified xsi:type="dcterms:W3CDTF">2024-07-02T13:52:00Z</dcterms:modified>
</cp:coreProperties>
</file>